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2" w:rsidRPr="00B060E1" w:rsidRDefault="009669C2" w:rsidP="009669C2">
      <w:pPr>
        <w:pStyle w:val="Default"/>
      </w:pPr>
    </w:p>
    <w:p w:rsidR="009669C2" w:rsidRPr="00B060E1" w:rsidRDefault="009669C2" w:rsidP="009669C2">
      <w:pPr>
        <w:pStyle w:val="Default"/>
      </w:pPr>
      <w:r w:rsidRPr="00B060E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9072880</wp:posOffset>
            </wp:positionV>
            <wp:extent cx="619125" cy="571500"/>
            <wp:effectExtent l="19050" t="0" r="9525" b="0"/>
            <wp:wrapSquare wrapText="bothSides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60E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-309245</wp:posOffset>
            </wp:positionV>
            <wp:extent cx="2819400" cy="2371725"/>
            <wp:effectExtent l="19050" t="0" r="0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0E1">
        <w:t xml:space="preserve">Le constat de l’Observatoire français des drogues et des toxicomanies (OFDT), qui vient de rendre son bilan, est sans appel : au cours de l’année passée, les ventes de tabac sont reparties à la hausse. Les militants anti-tabac tentent d’effectuer des prévisions afin de mettre en place leurs campagnes pour les années à venir. </w:t>
      </w:r>
    </w:p>
    <w:p w:rsidR="009669C2" w:rsidRPr="00B060E1" w:rsidRDefault="009669C2" w:rsidP="009669C2">
      <w:pPr>
        <w:pStyle w:val="Default"/>
      </w:pPr>
      <w:r w:rsidRPr="00B060E1">
        <w:t>Une piste choisie est d’augmenter le prix d’un paquet de cigarette pour diminuer la vente de cigarette auprès des jeunes consommateurs.</w:t>
      </w:r>
    </w:p>
    <w:p w:rsidR="009669C2" w:rsidRPr="00B060E1" w:rsidRDefault="009669C2" w:rsidP="009669C2">
      <w:pPr>
        <w:pStyle w:val="Default"/>
      </w:pPr>
    </w:p>
    <w:p w:rsidR="009669C2" w:rsidRPr="00B060E1" w:rsidRDefault="009669C2" w:rsidP="009669C2">
      <w:pPr>
        <w:tabs>
          <w:tab w:val="left" w:pos="25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060E1">
        <w:rPr>
          <w:rFonts w:ascii="Times New Roman" w:hAnsi="Times New Roman" w:cs="Times New Roman"/>
          <w:sz w:val="24"/>
          <w:szCs w:val="24"/>
        </w:rPr>
        <w:t xml:space="preserve">L’OFDT a établi </w:t>
      </w:r>
      <w:proofErr w:type="gramStart"/>
      <w:r w:rsidRPr="00B060E1">
        <w:rPr>
          <w:rFonts w:ascii="Times New Roman" w:hAnsi="Times New Roman" w:cs="Times New Roman"/>
          <w:sz w:val="24"/>
          <w:szCs w:val="24"/>
        </w:rPr>
        <w:t>le tableaux</w:t>
      </w:r>
      <w:proofErr w:type="gramEnd"/>
      <w:r w:rsidRPr="00B060E1">
        <w:rPr>
          <w:rFonts w:ascii="Times New Roman" w:hAnsi="Times New Roman" w:cs="Times New Roman"/>
          <w:sz w:val="24"/>
          <w:szCs w:val="24"/>
        </w:rPr>
        <w:t xml:space="preserve"> suivant, indiquant l’évolution du prix des cigarettes de 2000 à 2012 :</w:t>
      </w:r>
      <w:r w:rsidRPr="00B06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69C2" w:rsidRPr="00B060E1" w:rsidRDefault="009669C2" w:rsidP="009669C2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0E1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733925" cy="2809874"/>
            <wp:effectExtent l="19050" t="0" r="9525" b="0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69C2" w:rsidRPr="00B060E1" w:rsidRDefault="009669C2" w:rsidP="009669C2">
      <w:pPr>
        <w:tabs>
          <w:tab w:val="left" w:pos="25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060E1">
        <w:rPr>
          <w:rFonts w:ascii="Times New Roman" w:hAnsi="Times New Roman" w:cs="Times New Roman"/>
          <w:b/>
          <w:bCs/>
          <w:sz w:val="40"/>
          <w:szCs w:val="40"/>
        </w:rPr>
        <w:t xml:space="preserve">Pouvez-vous prévoir le prix d’un paquet de cigarette pour </w:t>
      </w:r>
      <w:r>
        <w:rPr>
          <w:rFonts w:ascii="Times New Roman" w:hAnsi="Times New Roman" w:cs="Times New Roman"/>
          <w:b/>
          <w:bCs/>
          <w:sz w:val="40"/>
          <w:szCs w:val="40"/>
        </w:rPr>
        <w:t>la marque la plus vendue en 2015</w:t>
      </w:r>
      <w:r w:rsidRPr="00B060E1">
        <w:rPr>
          <w:rFonts w:ascii="Times New Roman" w:hAnsi="Times New Roman" w:cs="Times New Roman"/>
          <w:b/>
          <w:bCs/>
          <w:sz w:val="40"/>
          <w:szCs w:val="40"/>
        </w:rPr>
        <w:t> ?</w:t>
      </w:r>
    </w:p>
    <w:p w:rsidR="009669C2" w:rsidRPr="00B060E1" w:rsidRDefault="009669C2" w:rsidP="009669C2">
      <w:pPr>
        <w:pStyle w:val="Paragraphedeliste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B060E1">
        <w:rPr>
          <w:rFonts w:ascii="Times New Roman" w:hAnsi="Times New Roman" w:cs="Times New Roman"/>
          <w:sz w:val="24"/>
          <w:szCs w:val="24"/>
        </w:rPr>
        <w:t xml:space="preserve">Proposer </w:t>
      </w:r>
      <w:r w:rsidR="000A526D">
        <w:rPr>
          <w:rFonts w:ascii="Times New Roman" w:hAnsi="Times New Roman" w:cs="Times New Roman"/>
          <w:sz w:val="24"/>
          <w:szCs w:val="24"/>
        </w:rPr>
        <w:t xml:space="preserve">et exécuter </w:t>
      </w:r>
      <w:r w:rsidRPr="00B060E1">
        <w:rPr>
          <w:rFonts w:ascii="Times New Roman" w:hAnsi="Times New Roman" w:cs="Times New Roman"/>
          <w:sz w:val="24"/>
          <w:szCs w:val="24"/>
        </w:rPr>
        <w:t>une méthode de résolution pour répondre à la question.</w:t>
      </w:r>
    </w:p>
    <w:p w:rsidR="009669C2" w:rsidRPr="00B060E1" w:rsidRDefault="009669C2" w:rsidP="009669C2">
      <w:pPr>
        <w:rPr>
          <w:rFonts w:ascii="Times New Roman" w:hAnsi="Times New Roman" w:cs="Times New Roman"/>
          <w:sz w:val="24"/>
          <w:szCs w:val="24"/>
        </w:rPr>
      </w:pPr>
    </w:p>
    <w:p w:rsidR="009669C2" w:rsidRPr="00B060E1" w:rsidRDefault="009669C2" w:rsidP="009669C2">
      <w:pPr>
        <w:rPr>
          <w:rFonts w:ascii="Times New Roman" w:hAnsi="Times New Roman" w:cs="Times New Roman"/>
          <w:sz w:val="24"/>
          <w:szCs w:val="24"/>
        </w:rPr>
      </w:pPr>
    </w:p>
    <w:p w:rsidR="009669C2" w:rsidRPr="00B060E1" w:rsidRDefault="009669C2" w:rsidP="009669C2">
      <w:pPr>
        <w:rPr>
          <w:rFonts w:ascii="Times New Roman" w:hAnsi="Times New Roman" w:cs="Times New Roman"/>
          <w:sz w:val="24"/>
          <w:szCs w:val="24"/>
        </w:rPr>
      </w:pPr>
    </w:p>
    <w:p w:rsidR="009669C2" w:rsidRPr="00B060E1" w:rsidRDefault="009669C2" w:rsidP="00966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C2" w:rsidRDefault="009669C2" w:rsidP="009669C2">
      <w:pPr>
        <w:pStyle w:val="Default"/>
        <w:rPr>
          <w:color w:val="auto"/>
        </w:rPr>
      </w:pPr>
    </w:p>
    <w:p w:rsidR="009669C2" w:rsidRPr="00B060E1" w:rsidRDefault="009669C2" w:rsidP="009669C2">
      <w:pPr>
        <w:pStyle w:val="Default"/>
      </w:pPr>
    </w:p>
    <w:sectPr w:rsidR="009669C2" w:rsidRPr="00B060E1" w:rsidSect="0052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1996"/>
    <w:multiLevelType w:val="hybridMultilevel"/>
    <w:tmpl w:val="A656C7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69C2"/>
    <w:rsid w:val="000A526D"/>
    <w:rsid w:val="001F19EE"/>
    <w:rsid w:val="009669C2"/>
    <w:rsid w:val="00CC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69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Evolution</a:t>
            </a:r>
            <a:r>
              <a:rPr lang="fr-FR" baseline="0"/>
              <a:t> du prix du paquet de cigarette pour la marque la plus vendue</a:t>
            </a:r>
            <a:endParaRPr lang="fr-FR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dLbls>
            <c:dLbl>
              <c:idx val="0"/>
              <c:layout>
                <c:manualLayout>
                  <c:x val="-4.2031523642732119E-2"/>
                  <c:y val="-6.2015503875969026E-2"/>
                </c:manualLayout>
              </c:layout>
              <c:showVal val="1"/>
            </c:dLbl>
            <c:dLbl>
              <c:idx val="1"/>
              <c:layout>
                <c:manualLayout>
                  <c:x val="-4.4366608289550538E-2"/>
                  <c:y val="-6.2015503875969095E-2"/>
                </c:manualLayout>
              </c:layout>
              <c:showVal val="1"/>
            </c:dLbl>
            <c:dLbl>
              <c:idx val="2"/>
              <c:layout>
                <c:manualLayout>
                  <c:x val="-3.7361354349095155E-2"/>
                  <c:y val="-5.8139534883720929E-2"/>
                </c:manualLayout>
              </c:layout>
              <c:showVal val="1"/>
            </c:dLbl>
            <c:dLbl>
              <c:idx val="3"/>
              <c:layout>
                <c:manualLayout>
                  <c:x val="-3.5026269702276784E-2"/>
                  <c:y val="-5.8139534883720999E-2"/>
                </c:manualLayout>
              </c:layout>
              <c:showVal val="1"/>
            </c:dLbl>
            <c:dLbl>
              <c:idx val="4"/>
              <c:layout>
                <c:manualLayout>
                  <c:x val="-3.7361354349095155E-2"/>
                  <c:y val="-6.2015503875969026E-2"/>
                </c:manualLayout>
              </c:layout>
              <c:showVal val="1"/>
            </c:dLbl>
            <c:dLbl>
              <c:idx val="5"/>
              <c:layout>
                <c:manualLayout>
                  <c:x val="-3.5026269702276749E-2"/>
                  <c:y val="-6.976744186046524E-2"/>
                </c:manualLayout>
              </c:layout>
              <c:showVal val="1"/>
            </c:dLbl>
            <c:dLbl>
              <c:idx val="6"/>
              <c:layout>
                <c:manualLayout>
                  <c:x val="-2.8021015761821415E-2"/>
                  <c:y val="-5.4263565891472874E-2"/>
                </c:manualLayout>
              </c:layout>
              <c:showVal val="1"/>
            </c:dLbl>
            <c:dLbl>
              <c:idx val="7"/>
              <c:layout>
                <c:manualLayout>
                  <c:x val="-3.5026269702276749E-2"/>
                  <c:y val="-5.8139534883720999E-2"/>
                </c:manualLayout>
              </c:layout>
              <c:showVal val="1"/>
            </c:dLbl>
            <c:dLbl>
              <c:idx val="8"/>
              <c:layout>
                <c:manualLayout>
                  <c:x val="-3.7361354349095155E-2"/>
                  <c:y val="-7.7519379844961378E-2"/>
                </c:manualLayout>
              </c:layout>
              <c:showVal val="1"/>
            </c:dLbl>
            <c:dLbl>
              <c:idx val="9"/>
              <c:layout>
                <c:manualLayout>
                  <c:x val="-3.5026269702276749E-2"/>
                  <c:y val="-5.4263565891472874E-2"/>
                </c:manualLayout>
              </c:layout>
              <c:showVal val="1"/>
            </c:dLbl>
            <c:dLbl>
              <c:idx val="10"/>
              <c:layout>
                <c:manualLayout>
                  <c:x val="-3.5026269702276812E-2"/>
                  <c:y val="-5.038759689922493E-2"/>
                </c:manualLayout>
              </c:layout>
              <c:showVal val="1"/>
            </c:dLbl>
            <c:dLbl>
              <c:idx val="11"/>
              <c:layout>
                <c:manualLayout>
                  <c:x val="-3.5026269702276749E-2"/>
                  <c:y val="-4.6511627906976882E-2"/>
                </c:manualLayout>
              </c:layout>
              <c:showVal val="1"/>
            </c:dLbl>
            <c:dLbl>
              <c:idx val="12"/>
              <c:layout>
                <c:manualLayout>
                  <c:x val="-3.9696438995913602E-2"/>
                  <c:y val="-4.6511627906976827E-2"/>
                </c:manualLayout>
              </c:layout>
              <c:showVal val="1"/>
            </c:dLbl>
            <c:dLbl>
              <c:idx val="13"/>
              <c:layout>
                <c:manualLayout>
                  <c:x val="-3.0356100408639845E-2"/>
                  <c:y val="-4.2635658914728793E-2"/>
                </c:manualLayout>
              </c:layout>
              <c:showVal val="1"/>
            </c:dLbl>
            <c:showVal val="1"/>
          </c:dLbls>
          <c:xVal>
            <c:numRef>
              <c:f>Feuil1!$A$1:$A$14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xVal>
          <c:yVal>
            <c:numRef>
              <c:f>Feuil1!$B$1:$B$14</c:f>
              <c:numCache>
                <c:formatCode>General</c:formatCode>
                <c:ptCount val="14"/>
                <c:pt idx="0">
                  <c:v>3.2</c:v>
                </c:pt>
                <c:pt idx="1">
                  <c:v>3.3499999999999988</c:v>
                </c:pt>
                <c:pt idx="2">
                  <c:v>3.6</c:v>
                </c:pt>
                <c:pt idx="3">
                  <c:v>3.9</c:v>
                </c:pt>
                <c:pt idx="4">
                  <c:v>4.4000000000000004</c:v>
                </c:pt>
                <c:pt idx="5">
                  <c:v>4.8</c:v>
                </c:pt>
                <c:pt idx="6">
                  <c:v>5</c:v>
                </c:pt>
                <c:pt idx="7">
                  <c:v>5.3</c:v>
                </c:pt>
                <c:pt idx="8">
                  <c:v>5.3</c:v>
                </c:pt>
                <c:pt idx="9">
                  <c:v>5.6</c:v>
                </c:pt>
                <c:pt idx="10">
                  <c:v>5.9</c:v>
                </c:pt>
                <c:pt idx="11">
                  <c:v>6.2</c:v>
                </c:pt>
                <c:pt idx="12">
                  <c:v>6.6</c:v>
                </c:pt>
                <c:pt idx="13">
                  <c:v>6.8</c:v>
                </c:pt>
              </c:numCache>
            </c:numRef>
          </c:yVal>
        </c:ser>
        <c:axId val="113372544"/>
        <c:axId val="115934720"/>
      </c:scatterChart>
      <c:valAx>
        <c:axId val="113372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Année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15934720"/>
        <c:crosses val="autoZero"/>
        <c:crossBetween val="midCat"/>
      </c:valAx>
      <c:valAx>
        <c:axId val="115934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Prix</a:t>
                </a:r>
                <a:r>
                  <a:rPr lang="fr-FR" baseline="0"/>
                  <a:t> en euro</a:t>
                </a:r>
                <a:endParaRPr lang="fr-FR"/>
              </a:p>
            </c:rich>
          </c:tx>
          <c:layout/>
        </c:title>
        <c:numFmt formatCode="General" sourceLinked="1"/>
        <c:majorTickMark val="none"/>
        <c:tickLblPos val="nextTo"/>
        <c:crossAx val="11337254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Camille</cp:lastModifiedBy>
  <cp:revision>2</cp:revision>
  <dcterms:created xsi:type="dcterms:W3CDTF">2014-01-11T18:39:00Z</dcterms:created>
  <dcterms:modified xsi:type="dcterms:W3CDTF">2014-01-11T18:39:00Z</dcterms:modified>
</cp:coreProperties>
</file>