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0D7EA9" w:rsidTr="00422F61">
        <w:tc>
          <w:tcPr>
            <w:tcW w:w="9778" w:type="dxa"/>
          </w:tcPr>
          <w:p w:rsidR="000D7EA9" w:rsidRDefault="000D7EA9" w:rsidP="00422F61">
            <w:pPr>
              <w:pStyle w:val="Standard"/>
              <w:jc w:val="center"/>
            </w:pPr>
            <w:r>
              <w:t>Groupement C</w:t>
            </w:r>
          </w:p>
        </w:tc>
      </w:tr>
      <w:tr w:rsidR="000D7EA9" w:rsidTr="00422F61">
        <w:tc>
          <w:tcPr>
            <w:tcW w:w="9778" w:type="dxa"/>
          </w:tcPr>
          <w:p w:rsidR="000D7EA9" w:rsidRDefault="000D7EA9" w:rsidP="000D7EA9">
            <w:pPr>
              <w:pStyle w:val="Standard"/>
              <w:jc w:val="center"/>
            </w:pPr>
            <w:r>
              <w:t>Programme complémentaire : Logarithme népérien</w:t>
            </w:r>
          </w:p>
        </w:tc>
      </w:tr>
    </w:tbl>
    <w:p w:rsidR="000D7EA9" w:rsidRDefault="000D7EA9" w:rsidP="000D7EA9">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8"/>
        <w:gridCol w:w="4650"/>
      </w:tblGrid>
      <w:tr w:rsidR="000D7EA9" w:rsidTr="00422F61">
        <w:tc>
          <w:tcPr>
            <w:tcW w:w="4889" w:type="dxa"/>
          </w:tcPr>
          <w:p w:rsidR="000D7EA9" w:rsidRPr="00F3351D" w:rsidRDefault="000D7EA9" w:rsidP="00422F61">
            <w:pPr>
              <w:pStyle w:val="Standard"/>
              <w:rPr>
                <w:sz w:val="22"/>
                <w:szCs w:val="22"/>
                <w:u w:val="single"/>
              </w:rPr>
            </w:pPr>
            <w:r w:rsidRPr="00F3351D">
              <w:rPr>
                <w:u w:val="single"/>
              </w:rPr>
              <w:t>Objectifs :</w:t>
            </w:r>
            <w:r w:rsidRPr="00F3351D">
              <w:rPr>
                <w:sz w:val="22"/>
                <w:szCs w:val="22"/>
                <w:u w:val="single"/>
              </w:rPr>
              <w:t xml:space="preserve"> </w:t>
            </w:r>
          </w:p>
          <w:p w:rsidR="000D7EA9" w:rsidRPr="00F3351D" w:rsidRDefault="000D7EA9" w:rsidP="00422F61">
            <w:pPr>
              <w:pStyle w:val="Standard"/>
              <w:rPr>
                <w:sz w:val="22"/>
                <w:szCs w:val="22"/>
              </w:rPr>
            </w:pPr>
          </w:p>
          <w:p w:rsidR="000D7EA9" w:rsidRPr="00F3351D" w:rsidRDefault="000D7EA9" w:rsidP="000D7EA9">
            <w:pPr>
              <w:pStyle w:val="Standard"/>
              <w:rPr>
                <w:sz w:val="22"/>
                <w:szCs w:val="22"/>
              </w:rPr>
            </w:pPr>
            <w:r w:rsidRPr="00F3351D">
              <w:rPr>
                <w:sz w:val="22"/>
                <w:szCs w:val="22"/>
              </w:rPr>
              <w:t xml:space="preserve">Développer une démarche d’investigation conduisant l’apprenant à introduire la notion de </w:t>
            </w:r>
            <w:r>
              <w:rPr>
                <w:sz w:val="22"/>
                <w:szCs w:val="22"/>
              </w:rPr>
              <w:t>logarithme népérien</w:t>
            </w:r>
            <w:r w:rsidRPr="00F3351D">
              <w:rPr>
                <w:sz w:val="22"/>
                <w:szCs w:val="22"/>
              </w:rPr>
              <w:t xml:space="preserve"> dans une situation de la vie courante.</w:t>
            </w:r>
          </w:p>
        </w:tc>
        <w:tc>
          <w:tcPr>
            <w:tcW w:w="4889" w:type="dxa"/>
          </w:tcPr>
          <w:p w:rsidR="000D7EA9" w:rsidRPr="00F3351D" w:rsidRDefault="000D7EA9" w:rsidP="00422F61">
            <w:pPr>
              <w:pStyle w:val="Standard"/>
              <w:rPr>
                <w:u w:val="single"/>
              </w:rPr>
            </w:pPr>
            <w:r w:rsidRPr="00F3351D">
              <w:rPr>
                <w:u w:val="single"/>
              </w:rPr>
              <w:t>Durée :</w:t>
            </w:r>
          </w:p>
          <w:p w:rsidR="000D7EA9" w:rsidRPr="00F3351D" w:rsidRDefault="009304E3" w:rsidP="00422F61">
            <w:pPr>
              <w:pStyle w:val="Standard"/>
              <w:rPr>
                <w:sz w:val="22"/>
                <w:szCs w:val="22"/>
              </w:rPr>
            </w:pPr>
            <w:r>
              <w:rPr>
                <w:noProof/>
                <w:sz w:val="22"/>
                <w:szCs w:val="22"/>
                <w:lang w:eastAsia="fr-FR" w:bidi="ar-SA"/>
              </w:rPr>
              <w:pict>
                <v:shapetype id="_x0000_t202" coordsize="21600,21600" o:spt="202" path="m,l,21600r21600,l21600,xe">
                  <v:stroke joinstyle="miter"/>
                  <v:path gradientshapeok="t" o:connecttype="rect"/>
                </v:shapetype>
                <v:shape id="_x0000_s1026" type="#_x0000_t202" style="position:absolute;margin-left:87.15pt;margin-top:17.05pt;width:82pt;height:26.7pt;z-index:251660288" stroked="f">
                  <v:textbox>
                    <w:txbxContent>
                      <w:p w:rsidR="000D7EA9" w:rsidRDefault="000D7EA9" w:rsidP="000D7EA9">
                        <w:r>
                          <w:t>30 minutes</w:t>
                        </w:r>
                      </w:p>
                      <w:p w:rsidR="000D7EA9" w:rsidRDefault="000D7EA9" w:rsidP="000D7EA9"/>
                    </w:txbxContent>
                  </v:textbox>
                </v:shape>
              </w:pict>
            </w:r>
            <w:r w:rsidR="000D7EA9">
              <w:rPr>
                <w:noProof/>
                <w:sz w:val="22"/>
                <w:szCs w:val="22"/>
                <w:lang w:eastAsia="fr-FR" w:bidi="ar-SA"/>
              </w:rPr>
              <w:drawing>
                <wp:inline distT="0" distB="0" distL="0" distR="0">
                  <wp:extent cx="841375" cy="898525"/>
                  <wp:effectExtent l="19050" t="0" r="0" b="0"/>
                  <wp:docPr id="1" name="Image 1"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4131"/>
                          <pic:cNvPicPr>
                            <a:picLocks noChangeAspect="1" noChangeArrowheads="1"/>
                          </pic:cNvPicPr>
                        </pic:nvPicPr>
                        <pic:blipFill>
                          <a:blip r:embed="rId5" cstate="print"/>
                          <a:srcRect/>
                          <a:stretch>
                            <a:fillRect/>
                          </a:stretch>
                        </pic:blipFill>
                        <pic:spPr bwMode="auto">
                          <a:xfrm>
                            <a:off x="0" y="0"/>
                            <a:ext cx="841375" cy="898525"/>
                          </a:xfrm>
                          <a:prstGeom prst="rect">
                            <a:avLst/>
                          </a:prstGeom>
                          <a:noFill/>
                          <a:ln w="9525">
                            <a:noFill/>
                            <a:miter lim="800000"/>
                            <a:headEnd/>
                            <a:tailEnd/>
                          </a:ln>
                        </pic:spPr>
                      </pic:pic>
                    </a:graphicData>
                  </a:graphic>
                </wp:inline>
              </w:drawing>
            </w:r>
            <w:r w:rsidR="000D7EA9" w:rsidRPr="00F3351D">
              <w:rPr>
                <w:sz w:val="22"/>
                <w:szCs w:val="22"/>
              </w:rPr>
              <w:t xml:space="preserve"> </w:t>
            </w:r>
          </w:p>
        </w:tc>
      </w:tr>
      <w:tr w:rsidR="000D7EA9" w:rsidTr="00422F61">
        <w:tc>
          <w:tcPr>
            <w:tcW w:w="4889" w:type="dxa"/>
          </w:tcPr>
          <w:p w:rsidR="000D7EA9" w:rsidRPr="00F3351D" w:rsidRDefault="000D7EA9" w:rsidP="00422F61">
            <w:pPr>
              <w:pStyle w:val="Standard"/>
              <w:rPr>
                <w:u w:val="single"/>
              </w:rPr>
            </w:pPr>
            <w:r w:rsidRPr="00F3351D">
              <w:rPr>
                <w:u w:val="single"/>
              </w:rPr>
              <w:t>Capacités :</w:t>
            </w:r>
          </w:p>
          <w:p w:rsidR="000D7EA9" w:rsidRPr="00F3351D" w:rsidRDefault="000D7EA9" w:rsidP="00422F61">
            <w:pPr>
              <w:pStyle w:val="Standard"/>
              <w:rPr>
                <w:u w:val="single"/>
              </w:rPr>
            </w:pPr>
          </w:p>
          <w:p w:rsidR="000D7EA9" w:rsidRPr="00F3351D" w:rsidRDefault="000D7EA9" w:rsidP="000D7EA9">
            <w:pPr>
              <w:pStyle w:val="Standard"/>
              <w:numPr>
                <w:ilvl w:val="0"/>
                <w:numId w:val="2"/>
              </w:numPr>
              <w:rPr>
                <w:sz w:val="22"/>
                <w:szCs w:val="22"/>
              </w:rPr>
            </w:pPr>
            <w:r>
              <w:rPr>
                <w:sz w:val="22"/>
                <w:szCs w:val="22"/>
              </w:rPr>
              <w:t>Etudier les variations et représenter graphiquement la fonction logarithme népérien sur un intervalle donné à l’aide des TICE.</w:t>
            </w:r>
          </w:p>
        </w:tc>
        <w:tc>
          <w:tcPr>
            <w:tcW w:w="4889" w:type="dxa"/>
          </w:tcPr>
          <w:p w:rsidR="000D7EA9" w:rsidRPr="00F3351D" w:rsidRDefault="000D7EA9" w:rsidP="00422F61">
            <w:pPr>
              <w:pStyle w:val="Standard"/>
              <w:rPr>
                <w:u w:val="single"/>
              </w:rPr>
            </w:pPr>
            <w:r w:rsidRPr="00F3351D">
              <w:rPr>
                <w:u w:val="single"/>
              </w:rPr>
              <w:t>Connaissances :</w:t>
            </w:r>
          </w:p>
          <w:p w:rsidR="000D7EA9" w:rsidRPr="00F3351D" w:rsidRDefault="000D7EA9" w:rsidP="00422F61">
            <w:pPr>
              <w:pStyle w:val="Standard"/>
              <w:rPr>
                <w:u w:val="single"/>
              </w:rPr>
            </w:pPr>
          </w:p>
          <w:p w:rsidR="000D7EA9" w:rsidRPr="00F3351D" w:rsidRDefault="00316C7C" w:rsidP="000D7EA9">
            <w:pPr>
              <w:pStyle w:val="Standard"/>
              <w:numPr>
                <w:ilvl w:val="0"/>
                <w:numId w:val="2"/>
              </w:numPr>
              <w:rPr>
                <w:sz w:val="22"/>
                <w:szCs w:val="22"/>
              </w:rPr>
            </w:pPr>
            <w:r>
              <w:rPr>
                <w:sz w:val="22"/>
                <w:szCs w:val="22"/>
              </w:rPr>
              <w:t xml:space="preserve">Fonction logarithme népérien </w:t>
            </w:r>
            <w:r w:rsidRPr="00316C7C">
              <w:rPr>
                <w:position w:val="-10"/>
                <w:sz w:val="22"/>
                <w:szCs w:val="22"/>
              </w:rPr>
              <w:object w:dxaOrig="1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15.95pt" o:ole="">
                  <v:imagedata r:id="rId6" o:title=""/>
                </v:shape>
                <o:OLEObject Type="Embed" ProgID="Equation.3" ShapeID="_x0000_i1025" DrawAspect="Content" ObjectID="_1394017445" r:id="rId7"/>
              </w:object>
            </w:r>
          </w:p>
        </w:tc>
      </w:tr>
    </w:tbl>
    <w:p w:rsidR="000D7EA9" w:rsidRDefault="000D7EA9" w:rsidP="00402BAD">
      <w:pPr>
        <w:jc w:val="center"/>
        <w:rPr>
          <w:rFonts w:ascii="Algerian" w:hAnsi="Algerian" w:cs="Times New Roman"/>
          <w:sz w:val="36"/>
          <w:szCs w:val="36"/>
        </w:rPr>
      </w:pPr>
    </w:p>
    <w:p w:rsidR="00AD2E08" w:rsidRPr="006E1F99" w:rsidRDefault="00402BAD" w:rsidP="00402BAD">
      <w:pPr>
        <w:jc w:val="center"/>
        <w:rPr>
          <w:rFonts w:ascii="Algerian" w:hAnsi="Algerian" w:cs="Times New Roman"/>
          <w:sz w:val="36"/>
          <w:szCs w:val="36"/>
        </w:rPr>
      </w:pPr>
      <w:r w:rsidRPr="006E1F99">
        <w:rPr>
          <w:rFonts w:ascii="Algerian" w:hAnsi="Algerian" w:cs="Times New Roman"/>
          <w:sz w:val="36"/>
          <w:szCs w:val="36"/>
        </w:rPr>
        <w:t>Datation au carbone 14</w:t>
      </w:r>
    </w:p>
    <w:p w:rsidR="00402BAD" w:rsidRDefault="00973262" w:rsidP="00402BAD">
      <w:pPr>
        <w:rPr>
          <w:rFonts w:ascii="Times New Roman" w:hAnsi="Times New Roman" w:cs="Times New Roman"/>
        </w:rPr>
      </w:pPr>
      <w:r>
        <w:rPr>
          <w:rFonts w:ascii="Times New Roman" w:hAnsi="Times New Roman" w:cs="Times New Roman"/>
        </w:rPr>
        <w:t>Tant qu’un organisme est vivant, la quantité de carbone14 qu’il contient est constante. Après la mort de l’organisme cette quantité diminue. La quantité de carbone14 restant permet de dater les organismes qui contiennent du carbone à condition qu’ils datent de moins de 50 000 ans.</w:t>
      </w:r>
    </w:p>
    <w:p w:rsidR="00973262" w:rsidRDefault="00973262" w:rsidP="00402BAD">
      <w:pPr>
        <w:rPr>
          <w:rFonts w:ascii="Times New Roman" w:hAnsi="Times New Roman" w:cs="Times New Roman"/>
        </w:rPr>
      </w:pPr>
      <w:r>
        <w:rPr>
          <w:rFonts w:ascii="Times New Roman" w:hAnsi="Times New Roman" w:cs="Times New Roman"/>
        </w:rPr>
        <w:t>Le tableau suivant donnent l’âge d’un organisme en fonction de la fraction de carbone 14 restant dans le fossile.</w:t>
      </w:r>
    </w:p>
    <w:tbl>
      <w:tblPr>
        <w:tblStyle w:val="Grilledutableau"/>
        <w:tblW w:w="10065" w:type="dxa"/>
        <w:tblInd w:w="-318" w:type="dxa"/>
        <w:tblLayout w:type="fixed"/>
        <w:tblLook w:val="04A0"/>
      </w:tblPr>
      <w:tblGrid>
        <w:gridCol w:w="1585"/>
        <w:gridCol w:w="848"/>
        <w:gridCol w:w="848"/>
        <w:gridCol w:w="848"/>
        <w:gridCol w:w="848"/>
        <w:gridCol w:w="848"/>
        <w:gridCol w:w="848"/>
        <w:gridCol w:w="848"/>
        <w:gridCol w:w="848"/>
        <w:gridCol w:w="848"/>
        <w:gridCol w:w="848"/>
      </w:tblGrid>
      <w:tr w:rsidR="00D727DC" w:rsidTr="00D727DC">
        <w:tc>
          <w:tcPr>
            <w:tcW w:w="1585" w:type="dxa"/>
          </w:tcPr>
          <w:p w:rsidR="00D727DC" w:rsidRDefault="00D727DC" w:rsidP="00402BAD">
            <w:pPr>
              <w:rPr>
                <w:rFonts w:ascii="Times New Roman" w:hAnsi="Times New Roman" w:cs="Times New Roman"/>
              </w:rPr>
            </w:pPr>
            <w:r>
              <w:rPr>
                <w:rFonts w:ascii="Times New Roman" w:hAnsi="Times New Roman" w:cs="Times New Roman"/>
              </w:rPr>
              <w:t>Fraction de carbone 14, x</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1</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0,9</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0,8</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0,7</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0,6</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0,5</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0,4</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0,3</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0,2</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0,1</w:t>
            </w:r>
          </w:p>
        </w:tc>
      </w:tr>
      <w:tr w:rsidR="00D727DC" w:rsidTr="00D727DC">
        <w:tc>
          <w:tcPr>
            <w:tcW w:w="1585" w:type="dxa"/>
          </w:tcPr>
          <w:p w:rsidR="00D727DC" w:rsidRDefault="00D727DC" w:rsidP="00D727DC">
            <w:pPr>
              <w:rPr>
                <w:rFonts w:ascii="Times New Roman" w:hAnsi="Times New Roman" w:cs="Times New Roman"/>
              </w:rPr>
            </w:pPr>
            <w:r>
              <w:rPr>
                <w:rFonts w:ascii="Times New Roman" w:hAnsi="Times New Roman" w:cs="Times New Roman"/>
              </w:rPr>
              <w:t>L’âge de l’organisme</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0</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876</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1854</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2964</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4245</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5760</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7614</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10005</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13374</w:t>
            </w:r>
          </w:p>
        </w:tc>
        <w:tc>
          <w:tcPr>
            <w:tcW w:w="848" w:type="dxa"/>
          </w:tcPr>
          <w:p w:rsidR="00D727DC" w:rsidRDefault="00D727DC" w:rsidP="006E1F99">
            <w:pPr>
              <w:jc w:val="center"/>
              <w:rPr>
                <w:rFonts w:ascii="Times New Roman" w:hAnsi="Times New Roman" w:cs="Times New Roman"/>
              </w:rPr>
            </w:pPr>
            <w:r>
              <w:rPr>
                <w:rFonts w:ascii="Times New Roman" w:hAnsi="Times New Roman" w:cs="Times New Roman"/>
              </w:rPr>
              <w:t>19134</w:t>
            </w:r>
          </w:p>
        </w:tc>
      </w:tr>
    </w:tbl>
    <w:p w:rsidR="00973262" w:rsidRDefault="00973262" w:rsidP="00402BAD">
      <w:pPr>
        <w:rPr>
          <w:rFonts w:ascii="Times New Roman" w:hAnsi="Times New Roman" w:cs="Times New Roman"/>
        </w:rPr>
      </w:pPr>
    </w:p>
    <w:p w:rsidR="006E1F99" w:rsidRDefault="006E1F99" w:rsidP="006E1F99">
      <w:pPr>
        <w:jc w:val="center"/>
        <w:rPr>
          <w:rFonts w:ascii="Algerian" w:hAnsi="Algerian" w:cs="Times New Roman"/>
          <w:sz w:val="36"/>
          <w:szCs w:val="36"/>
        </w:rPr>
      </w:pPr>
      <w:r w:rsidRPr="006E1F99">
        <w:rPr>
          <w:rFonts w:ascii="Algerian" w:hAnsi="Algerian" w:cs="Times New Roman"/>
          <w:sz w:val="36"/>
          <w:szCs w:val="36"/>
        </w:rPr>
        <w:t>Calculer l’âge d’un mammouth fossilisé qui contient encore un quart de son carbone 14.</w:t>
      </w:r>
    </w:p>
    <w:p w:rsidR="006D7C95" w:rsidRDefault="006D7C95" w:rsidP="006E1F99">
      <w:pPr>
        <w:jc w:val="center"/>
        <w:rPr>
          <w:rFonts w:ascii="Algerian" w:hAnsi="Algerian" w:cs="Times New Roman"/>
          <w:sz w:val="36"/>
          <w:szCs w:val="36"/>
        </w:rPr>
      </w:pPr>
    </w:p>
    <w:p w:rsidR="006D7C95" w:rsidRDefault="006D7C95" w:rsidP="006E1F99">
      <w:pPr>
        <w:jc w:val="center"/>
        <w:rPr>
          <w:rFonts w:ascii="Algerian" w:hAnsi="Algerian" w:cs="Times New Roman"/>
          <w:sz w:val="36"/>
          <w:szCs w:val="36"/>
        </w:rPr>
      </w:pPr>
    </w:p>
    <w:p w:rsidR="006D7C95" w:rsidRDefault="006D7C95" w:rsidP="006E1F99">
      <w:pPr>
        <w:jc w:val="center"/>
        <w:rPr>
          <w:rFonts w:ascii="Algerian" w:hAnsi="Algerian" w:cs="Times New Roman"/>
          <w:sz w:val="36"/>
          <w:szCs w:val="36"/>
        </w:rPr>
      </w:pPr>
    </w:p>
    <w:p w:rsidR="006D7C95" w:rsidRDefault="006D7C95" w:rsidP="006E1F99">
      <w:pPr>
        <w:jc w:val="center"/>
        <w:rPr>
          <w:rFonts w:ascii="Algerian" w:hAnsi="Algerian" w:cs="Times New Roman"/>
          <w:sz w:val="36"/>
          <w:szCs w:val="36"/>
        </w:rPr>
      </w:pPr>
    </w:p>
    <w:p w:rsidR="006D7C95" w:rsidRDefault="006D7C95" w:rsidP="006E1F99">
      <w:pPr>
        <w:jc w:val="center"/>
        <w:rPr>
          <w:rFonts w:ascii="Algerian" w:hAnsi="Algerian" w:cs="Times New Roman"/>
          <w:sz w:val="36"/>
          <w:szCs w:val="36"/>
        </w:rPr>
      </w:pPr>
    </w:p>
    <w:p w:rsidR="006D7C95" w:rsidRDefault="006D7C95" w:rsidP="006E1F99">
      <w:pPr>
        <w:jc w:val="center"/>
        <w:rPr>
          <w:rFonts w:ascii="Algerian" w:hAnsi="Algerian" w:cs="Times New Roman"/>
          <w:sz w:val="36"/>
          <w:szCs w:val="36"/>
        </w:rPr>
      </w:pPr>
    </w:p>
    <w:p w:rsidR="006D7C95" w:rsidRDefault="006D7C95" w:rsidP="006E1F99">
      <w:pPr>
        <w:jc w:val="center"/>
        <w:rPr>
          <w:rFonts w:ascii="Algerian" w:hAnsi="Algerian" w:cs="Times New Roman"/>
          <w:sz w:val="36"/>
          <w:szCs w:val="36"/>
        </w:rPr>
      </w:pPr>
    </w:p>
    <w:p w:rsidR="006D7C95" w:rsidRDefault="006D7C95" w:rsidP="006E1F99">
      <w:pPr>
        <w:jc w:val="center"/>
        <w:rPr>
          <w:rFonts w:ascii="Algerian" w:hAnsi="Algerian" w:cs="Times New Roman"/>
          <w:sz w:val="36"/>
          <w:szCs w:val="36"/>
        </w:rPr>
      </w:pPr>
    </w:p>
    <w:p w:rsidR="006D7C95" w:rsidRDefault="006D7C95" w:rsidP="006E1F99">
      <w:pPr>
        <w:jc w:val="center"/>
        <w:rPr>
          <w:rFonts w:ascii="Algerian" w:hAnsi="Algerian" w:cs="Times New Roman"/>
          <w:sz w:val="36"/>
          <w:szCs w:val="36"/>
        </w:rPr>
      </w:pPr>
    </w:p>
    <w:p w:rsidR="006D7C95" w:rsidRDefault="007D1C03" w:rsidP="006E1F99">
      <w:pPr>
        <w:jc w:val="center"/>
        <w:rPr>
          <w:rFonts w:ascii="Algerian" w:hAnsi="Algerian" w:cs="Times New Roman"/>
          <w:sz w:val="36"/>
          <w:szCs w:val="36"/>
        </w:rPr>
      </w:pPr>
      <w:r>
        <w:rPr>
          <w:rFonts w:ascii="Algerian" w:hAnsi="Algerian" w:cs="Times New Roman"/>
          <w:sz w:val="36"/>
          <w:szCs w:val="36"/>
        </w:rPr>
        <w:t>Aide à donner suivant les besoins</w:t>
      </w:r>
    </w:p>
    <w:p w:rsidR="006D7C95" w:rsidRDefault="006D7C95" w:rsidP="006E1F99">
      <w:pPr>
        <w:jc w:val="center"/>
        <w:rPr>
          <w:rFonts w:ascii="Algerian" w:hAnsi="Algerian" w:cs="Times New Roman"/>
          <w:sz w:val="36"/>
          <w:szCs w:val="36"/>
        </w:rPr>
      </w:pPr>
    </w:p>
    <w:p w:rsidR="006D7C95" w:rsidRDefault="006D7C95" w:rsidP="006D7C95">
      <w:pPr>
        <w:pStyle w:val="Paragraphedeliste"/>
        <w:rPr>
          <w:rFonts w:ascii="Times New Roman" w:hAnsi="Times New Roman" w:cs="Times New Roman"/>
        </w:rPr>
      </w:pPr>
    </w:p>
    <w:p w:rsidR="008E1C85" w:rsidRPr="006E1F99" w:rsidRDefault="006E1F99" w:rsidP="006E1F99">
      <w:pPr>
        <w:pStyle w:val="Paragraphedeliste"/>
        <w:numPr>
          <w:ilvl w:val="0"/>
          <w:numId w:val="1"/>
        </w:numPr>
        <w:rPr>
          <w:rFonts w:ascii="Times New Roman" w:hAnsi="Times New Roman" w:cs="Times New Roman"/>
        </w:rPr>
      </w:pPr>
      <w:r>
        <w:rPr>
          <w:rFonts w:ascii="Times New Roman" w:hAnsi="Times New Roman" w:cs="Times New Roman"/>
        </w:rPr>
        <w:t>A l’aide d’un tableu</w:t>
      </w:r>
      <w:r w:rsidR="008225F8">
        <w:rPr>
          <w:rFonts w:ascii="Times New Roman" w:hAnsi="Times New Roman" w:cs="Times New Roman"/>
        </w:rPr>
        <w:t>r</w:t>
      </w:r>
      <w:r w:rsidRPr="006E1F99">
        <w:rPr>
          <w:rFonts w:ascii="Times New Roman" w:hAnsi="Times New Roman" w:cs="Times New Roman"/>
        </w:rPr>
        <w:t xml:space="preserve"> </w:t>
      </w:r>
      <w:r w:rsidR="00FD6A26">
        <w:rPr>
          <w:rFonts w:ascii="Times New Roman" w:hAnsi="Times New Roman" w:cs="Times New Roman"/>
        </w:rPr>
        <w:t>représenter</w:t>
      </w:r>
      <w:r w:rsidRPr="006E1F99">
        <w:rPr>
          <w:rFonts w:ascii="Times New Roman" w:hAnsi="Times New Roman" w:cs="Times New Roman"/>
        </w:rPr>
        <w:t xml:space="preserve"> le nuage de points</w:t>
      </w:r>
      <w:r w:rsidR="00FD6A26">
        <w:rPr>
          <w:rFonts w:ascii="Times New Roman" w:hAnsi="Times New Roman" w:cs="Times New Roman"/>
        </w:rPr>
        <w:t xml:space="preserve"> correspondant au tableau</w:t>
      </w:r>
      <w:r w:rsidRPr="006E1F99">
        <w:rPr>
          <w:rFonts w:ascii="Times New Roman" w:hAnsi="Times New Roman" w:cs="Times New Roman"/>
        </w:rPr>
        <w:t>.</w:t>
      </w:r>
    </w:p>
    <w:p w:rsidR="006E1F99" w:rsidRDefault="006E1F99" w:rsidP="008E1C85">
      <w:pPr>
        <w:pStyle w:val="Paragraphedeliste"/>
        <w:numPr>
          <w:ilvl w:val="0"/>
          <w:numId w:val="1"/>
        </w:numPr>
        <w:rPr>
          <w:rFonts w:ascii="Times New Roman" w:hAnsi="Times New Roman" w:cs="Times New Roman"/>
        </w:rPr>
      </w:pPr>
      <w:r>
        <w:rPr>
          <w:rFonts w:ascii="Times New Roman" w:hAnsi="Times New Roman" w:cs="Times New Roman"/>
        </w:rPr>
        <w:t>Chercher la courbe de tendance la mieux adaptée.</w:t>
      </w:r>
    </w:p>
    <w:p w:rsidR="006E1F99" w:rsidRDefault="006E1F99" w:rsidP="008E1C85">
      <w:pPr>
        <w:pStyle w:val="Paragraphedeliste"/>
        <w:numPr>
          <w:ilvl w:val="0"/>
          <w:numId w:val="1"/>
        </w:numPr>
        <w:rPr>
          <w:rFonts w:ascii="Times New Roman" w:hAnsi="Times New Roman" w:cs="Times New Roman"/>
        </w:rPr>
      </w:pPr>
      <w:r>
        <w:rPr>
          <w:rFonts w:ascii="Times New Roman" w:hAnsi="Times New Roman" w:cs="Times New Roman"/>
        </w:rPr>
        <w:t>Noter l’</w:t>
      </w:r>
      <w:r w:rsidR="00FD6A26">
        <w:rPr>
          <w:rFonts w:ascii="Times New Roman" w:hAnsi="Times New Roman" w:cs="Times New Roman"/>
        </w:rPr>
        <w:t>équation de la courbe de tendance.</w:t>
      </w:r>
    </w:p>
    <w:p w:rsidR="00FD6A26" w:rsidRPr="008E1C85" w:rsidRDefault="00FD6A26" w:rsidP="008E1C85">
      <w:pPr>
        <w:pStyle w:val="Paragraphedeliste"/>
        <w:numPr>
          <w:ilvl w:val="0"/>
          <w:numId w:val="1"/>
        </w:numPr>
        <w:rPr>
          <w:rFonts w:ascii="Times New Roman" w:hAnsi="Times New Roman" w:cs="Times New Roman"/>
        </w:rPr>
      </w:pPr>
      <w:r>
        <w:rPr>
          <w:rFonts w:ascii="Times New Roman" w:hAnsi="Times New Roman" w:cs="Times New Roman"/>
        </w:rPr>
        <w:t>Quel est l’âge du mammouth ?</w:t>
      </w:r>
    </w:p>
    <w:sectPr w:rsidR="00FD6A26" w:rsidRPr="008E1C85" w:rsidSect="00AD2E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9763A"/>
    <w:multiLevelType w:val="hybridMultilevel"/>
    <w:tmpl w:val="4C8291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B671D9"/>
    <w:multiLevelType w:val="hybridMultilevel"/>
    <w:tmpl w:val="1B1C6D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402BAD"/>
    <w:rsid w:val="000D7EA9"/>
    <w:rsid w:val="00316C7C"/>
    <w:rsid w:val="00402BAD"/>
    <w:rsid w:val="006D7C95"/>
    <w:rsid w:val="006E1F99"/>
    <w:rsid w:val="007C193B"/>
    <w:rsid w:val="007D1C03"/>
    <w:rsid w:val="008225F8"/>
    <w:rsid w:val="008E1C85"/>
    <w:rsid w:val="009304E3"/>
    <w:rsid w:val="00973262"/>
    <w:rsid w:val="00AD2E08"/>
    <w:rsid w:val="00B20EE7"/>
    <w:rsid w:val="00D727DC"/>
    <w:rsid w:val="00FD6A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2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E1C85"/>
    <w:pPr>
      <w:ind w:left="720"/>
      <w:contextualSpacing/>
    </w:pPr>
  </w:style>
  <w:style w:type="paragraph" w:customStyle="1" w:styleId="Standard">
    <w:name w:val="Standard"/>
    <w:rsid w:val="000D7EA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Textedebulles">
    <w:name w:val="Balloon Text"/>
    <w:basedOn w:val="Normal"/>
    <w:link w:val="TextedebullesCar"/>
    <w:uiPriority w:val="99"/>
    <w:semiHidden/>
    <w:unhideWhenUsed/>
    <w:rsid w:val="000D7E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7E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95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205</Words>
  <Characters>1132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BARRETEAU DUIGOU</dc:creator>
  <cp:lastModifiedBy>LaBlondeDu33</cp:lastModifiedBy>
  <cp:revision>11</cp:revision>
  <dcterms:created xsi:type="dcterms:W3CDTF">2012-03-23T09:19:00Z</dcterms:created>
  <dcterms:modified xsi:type="dcterms:W3CDTF">2012-03-23T13:17:00Z</dcterms:modified>
</cp:coreProperties>
</file>