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4" w:rsidRDefault="003D16B4" w:rsidP="003D16B4">
      <w:pPr>
        <w:pageBreakBefore/>
        <w:jc w:val="center"/>
        <w:rPr>
          <w:b/>
          <w:sz w:val="22"/>
        </w:rPr>
      </w:pPr>
      <w:bookmarkStart w:id="0" w:name="_GoBack"/>
      <w:bookmarkEnd w:id="0"/>
      <w:r>
        <w:rPr>
          <w:b/>
          <w:bCs/>
          <w:caps/>
          <w:sz w:val="22"/>
          <w:szCs w:val="22"/>
        </w:rPr>
        <w:t>GRILLE D’</w:t>
      </w:r>
      <w:r>
        <w:rPr>
          <w:b/>
          <w:bCs/>
          <w:sz w:val="22"/>
          <w:szCs w:val="22"/>
        </w:rPr>
        <w:t>É</w:t>
      </w:r>
      <w:r>
        <w:rPr>
          <w:b/>
          <w:bCs/>
          <w:caps/>
          <w:sz w:val="22"/>
          <w:szCs w:val="22"/>
        </w:rPr>
        <w:t>VALUATION EN MATH</w:t>
      </w:r>
      <w:r>
        <w:rPr>
          <w:b/>
          <w:bCs/>
          <w:sz w:val="22"/>
          <w:szCs w:val="22"/>
        </w:rPr>
        <w:t>É</w:t>
      </w:r>
      <w:r>
        <w:rPr>
          <w:b/>
          <w:bCs/>
          <w:caps/>
          <w:sz w:val="22"/>
          <w:szCs w:val="22"/>
        </w:rPr>
        <w:t xml:space="preserve">MATIQUES </w:t>
      </w:r>
    </w:p>
    <w:p w:rsidR="003D16B4" w:rsidRDefault="003D16B4" w:rsidP="003D16B4">
      <w:pPr>
        <w:rPr>
          <w:b/>
          <w:sz w:val="22"/>
        </w:rPr>
      </w:pPr>
    </w:p>
    <w:p w:rsidR="003D16B4" w:rsidRPr="002F51FD" w:rsidRDefault="002F51FD" w:rsidP="003D16B4">
      <w:pPr>
        <w:rPr>
          <w:b/>
          <w:sz w:val="16"/>
          <w:szCs w:val="16"/>
        </w:rPr>
      </w:pPr>
      <w:r w:rsidRPr="002F51FD">
        <w:rPr>
          <w:b/>
          <w:sz w:val="16"/>
          <w:szCs w:val="16"/>
        </w:rPr>
        <w:t>0 : non conforme aux attendus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1 : partiellement conforme aux attendus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2 : conforme aux attendus</w:t>
      </w:r>
    </w:p>
    <w:p w:rsidR="003D16B4" w:rsidRDefault="003D16B4" w:rsidP="003D16B4">
      <w:pPr>
        <w:rPr>
          <w:b/>
          <w:sz w:val="22"/>
        </w:rPr>
      </w:pPr>
    </w:p>
    <w:tbl>
      <w:tblPr>
        <w:tblW w:w="97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280"/>
        <w:gridCol w:w="2724"/>
        <w:gridCol w:w="709"/>
        <w:gridCol w:w="709"/>
        <w:gridCol w:w="708"/>
        <w:gridCol w:w="872"/>
        <w:gridCol w:w="129"/>
        <w:gridCol w:w="989"/>
      </w:tblGrid>
      <w:tr w:rsidR="0095561D" w:rsidTr="007000BF">
        <w:trPr>
          <w:trHeight w:val="668"/>
          <w:jc w:val="center"/>
        </w:trPr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53043F" w:rsidRDefault="0053043F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Compétences</w:t>
            </w:r>
          </w:p>
        </w:tc>
        <w:tc>
          <w:tcPr>
            <w:tcW w:w="128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  <w:vAlign w:val="center"/>
          </w:tcPr>
          <w:p w:rsidR="0053043F" w:rsidRDefault="0053043F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72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53043F" w:rsidRDefault="0053043F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Attendus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53043F" w:rsidRDefault="0053043F" w:rsidP="003D3B33">
            <w:pPr>
              <w:jc w:val="center"/>
              <w:rPr>
                <w:rStyle w:val="Ancredenotedebasdepage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Appréciation du niveau d’acquisition</w:t>
            </w:r>
          </w:p>
        </w:tc>
        <w:tc>
          <w:tcPr>
            <w:tcW w:w="1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53043F" w:rsidRDefault="0053043F" w:rsidP="00C00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Aide à la traduction chiffrée par </w:t>
            </w:r>
            <w:r w:rsidR="00C005F7">
              <w:rPr>
                <w:b/>
                <w:bCs/>
                <w:sz w:val="20"/>
                <w:szCs w:val="20"/>
              </w:rPr>
              <w:t>Partie</w:t>
            </w:r>
          </w:p>
        </w:tc>
      </w:tr>
      <w:tr w:rsidR="004079CC" w:rsidTr="007000BF">
        <w:trPr>
          <w:trHeight w:val="412"/>
          <w:jc w:val="center"/>
        </w:trPr>
        <w:tc>
          <w:tcPr>
            <w:tcW w:w="15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Partie A</w:t>
            </w:r>
          </w:p>
        </w:tc>
        <w:tc>
          <w:tcPr>
            <w:tcW w:w="1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Partie B</w:t>
            </w:r>
          </w:p>
        </w:tc>
      </w:tr>
      <w:tr w:rsidR="004079CC" w:rsidTr="007000BF">
        <w:trPr>
          <w:trHeight w:val="653"/>
          <w:jc w:val="center"/>
        </w:trPr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S’approprier</w:t>
            </w:r>
          </w:p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Partie A</w:t>
            </w: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F65A63" w:rsidRDefault="007000BF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Travail préparatoire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F65A63" w:rsidRPr="0053043F" w:rsidRDefault="00F65A63" w:rsidP="003D16B4">
            <w:pPr>
              <w:numPr>
                <w:ilvl w:val="0"/>
                <w:numId w:val="1"/>
              </w:numPr>
              <w:ind w:left="162"/>
              <w:contextualSpacing/>
              <w:rPr>
                <w:i/>
                <w:sz w:val="20"/>
                <w:szCs w:val="20"/>
              </w:rPr>
            </w:pPr>
            <w:r w:rsidRPr="0053043F">
              <w:rPr>
                <w:i/>
                <w:sz w:val="20"/>
                <w:szCs w:val="20"/>
              </w:rPr>
              <w:t>L’élève est capable d’organiser les données chiffrées du tableau</w:t>
            </w:r>
          </w:p>
          <w:p w:rsidR="00F65A63" w:rsidRDefault="00F65A63" w:rsidP="003D16B4">
            <w:pPr>
              <w:numPr>
                <w:ilvl w:val="0"/>
                <w:numId w:val="1"/>
              </w:numPr>
              <w:ind w:left="162"/>
              <w:contextualSpacing/>
              <w:rPr>
                <w:sz w:val="20"/>
                <w:szCs w:val="20"/>
              </w:rPr>
            </w:pPr>
            <w:r w:rsidRPr="0053043F">
              <w:rPr>
                <w:i/>
                <w:sz w:val="20"/>
                <w:szCs w:val="20"/>
              </w:rPr>
              <w:t xml:space="preserve"> (ligne Max-Min) afin d’</w:t>
            </w:r>
            <w:r w:rsidR="00AA7FBC">
              <w:rPr>
                <w:i/>
                <w:sz w:val="20"/>
                <w:szCs w:val="20"/>
              </w:rPr>
              <w:t>en déduire</w:t>
            </w:r>
            <w:r w:rsidRPr="0053043F">
              <w:rPr>
                <w:i/>
                <w:sz w:val="20"/>
                <w:szCs w:val="20"/>
              </w:rPr>
              <w:t xml:space="preserve"> des informations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</w:p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079CC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4079CC" w:rsidRDefault="004079CC" w:rsidP="003D16B4">
            <w:pPr>
              <w:jc w:val="right"/>
              <w:rPr>
                <w:sz w:val="20"/>
                <w:szCs w:val="20"/>
              </w:rPr>
            </w:pPr>
          </w:p>
          <w:p w:rsidR="00F65A63" w:rsidRDefault="00F65A63" w:rsidP="003D16B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079CC" w:rsidTr="007000BF">
        <w:trPr>
          <w:trHeight w:val="652"/>
          <w:jc w:val="center"/>
        </w:trPr>
        <w:tc>
          <w:tcPr>
            <w:tcW w:w="15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Partie B</w:t>
            </w: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Q.3)</w:t>
            </w:r>
          </w:p>
        </w:tc>
        <w:tc>
          <w:tcPr>
            <w:tcW w:w="27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F65A63" w:rsidRPr="0053043F" w:rsidRDefault="00AA7FBC" w:rsidP="00AA7FBC">
            <w:pPr>
              <w:numPr>
                <w:ilvl w:val="0"/>
                <w:numId w:val="1"/>
              </w:numPr>
              <w:ind w:left="162"/>
              <w:contextualSpacing/>
              <w:rPr>
                <w:i/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>L’élève est capable d</w:t>
            </w:r>
            <w:r>
              <w:rPr>
                <w:i/>
                <w:sz w:val="20"/>
                <w:szCs w:val="20"/>
              </w:rPr>
              <w:t>’utiliser des indicateurs chiffrés pour extraire une information</w:t>
            </w:r>
            <w:proofErr w:type="gramStart"/>
            <w:r>
              <w:rPr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4079CC" w:rsidRDefault="004079CC" w:rsidP="003D16B4">
            <w:pPr>
              <w:jc w:val="right"/>
              <w:rPr>
                <w:sz w:val="20"/>
                <w:szCs w:val="20"/>
              </w:rPr>
            </w:pPr>
          </w:p>
          <w:p w:rsidR="00F65A63" w:rsidRDefault="004079CC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</w:tr>
      <w:tr w:rsidR="004079CC" w:rsidTr="007000BF">
        <w:trPr>
          <w:trHeight w:val="586"/>
          <w:jc w:val="center"/>
        </w:trPr>
        <w:tc>
          <w:tcPr>
            <w:tcW w:w="159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Analyser</w:t>
            </w:r>
          </w:p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</w:p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</w:t>
            </w: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  <w:vAlign w:val="center"/>
          </w:tcPr>
          <w:p w:rsidR="004F0CC0" w:rsidRDefault="004F0CC0" w:rsidP="00632E01">
            <w:pPr>
              <w:jc w:val="center"/>
              <w:rPr>
                <w:bCs/>
                <w:sz w:val="20"/>
                <w:szCs w:val="20"/>
              </w:rPr>
            </w:pPr>
          </w:p>
          <w:p w:rsidR="00C005F7" w:rsidRDefault="00632E01" w:rsidP="00632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Partie B</w:t>
            </w:r>
          </w:p>
          <w:p w:rsidR="00632E01" w:rsidRDefault="00632E01" w:rsidP="00632E01">
            <w:pPr>
              <w:jc w:val="center"/>
              <w:rPr>
                <w:bCs/>
                <w:sz w:val="20"/>
                <w:szCs w:val="20"/>
              </w:rPr>
            </w:pPr>
          </w:p>
          <w:p w:rsidR="00632E01" w:rsidRDefault="00632E01" w:rsidP="00632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Q2)</w:t>
            </w: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BC725A" w:rsidRPr="00013FE8" w:rsidRDefault="00BC725A" w:rsidP="00632E01">
            <w:pPr>
              <w:numPr>
                <w:ilvl w:val="0"/>
                <w:numId w:val="1"/>
              </w:numPr>
              <w:ind w:left="165"/>
              <w:contextualSpacing/>
              <w:rPr>
                <w:i/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 xml:space="preserve">L’élève est capable de </w:t>
            </w:r>
            <w:r w:rsidR="00632E01">
              <w:rPr>
                <w:i/>
                <w:sz w:val="20"/>
                <w:szCs w:val="20"/>
              </w:rPr>
              <w:t>proposer un protocole permettant d’utiliser</w:t>
            </w:r>
            <w:r>
              <w:rPr>
                <w:i/>
                <w:sz w:val="20"/>
                <w:szCs w:val="20"/>
              </w:rPr>
              <w:t xml:space="preserve"> les données du tableau.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4079CC" w:rsidRDefault="004079CC" w:rsidP="003D16B4">
            <w:pPr>
              <w:jc w:val="right"/>
              <w:rPr>
                <w:bCs/>
                <w:sz w:val="20"/>
                <w:szCs w:val="20"/>
              </w:rPr>
            </w:pPr>
          </w:p>
          <w:p w:rsidR="00C005F7" w:rsidRDefault="00C005F7" w:rsidP="003D16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/1</w:t>
            </w: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4079CC" w:rsidRDefault="004079CC" w:rsidP="003D16B4">
            <w:pPr>
              <w:jc w:val="right"/>
              <w:rPr>
                <w:sz w:val="20"/>
                <w:szCs w:val="20"/>
              </w:rPr>
            </w:pPr>
          </w:p>
          <w:p w:rsidR="00C005F7" w:rsidRDefault="00C005F7" w:rsidP="003D16B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079CC" w:rsidTr="007000BF">
        <w:trPr>
          <w:trHeight w:val="572"/>
          <w:jc w:val="center"/>
        </w:trPr>
        <w:tc>
          <w:tcPr>
            <w:tcW w:w="15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  <w:vAlign w:val="center"/>
          </w:tcPr>
          <w:p w:rsidR="004F0CC0" w:rsidRDefault="004F0CC0" w:rsidP="00632E01">
            <w:pPr>
              <w:jc w:val="center"/>
              <w:rPr>
                <w:bCs/>
                <w:sz w:val="20"/>
                <w:szCs w:val="20"/>
              </w:rPr>
            </w:pPr>
          </w:p>
          <w:p w:rsidR="00BC725A" w:rsidRDefault="00BC725A" w:rsidP="00632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Partie C</w:t>
            </w:r>
          </w:p>
          <w:p w:rsidR="00BC725A" w:rsidRDefault="00BC725A" w:rsidP="00632E01">
            <w:pPr>
              <w:jc w:val="center"/>
              <w:rPr>
                <w:bCs/>
                <w:sz w:val="20"/>
                <w:szCs w:val="20"/>
              </w:rPr>
            </w:pPr>
          </w:p>
          <w:p w:rsidR="00BC725A" w:rsidRDefault="00BC725A" w:rsidP="00632E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Q.3)</w:t>
            </w:r>
          </w:p>
          <w:p w:rsidR="00C005F7" w:rsidRDefault="00C005F7" w:rsidP="00632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BC725A" w:rsidRDefault="00BC725A" w:rsidP="00BC725A">
            <w:pPr>
              <w:numPr>
                <w:ilvl w:val="0"/>
                <w:numId w:val="1"/>
              </w:numPr>
              <w:ind w:left="165"/>
              <w:contextualSpacing/>
              <w:rPr>
                <w:i/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>L’élève est capable d</w:t>
            </w:r>
            <w:r>
              <w:rPr>
                <w:i/>
                <w:sz w:val="20"/>
                <w:szCs w:val="20"/>
              </w:rPr>
              <w:t>’interpréter la médiane</w:t>
            </w:r>
            <w:r w:rsidRPr="00013FE8">
              <w:rPr>
                <w:i/>
                <w:sz w:val="20"/>
                <w:szCs w:val="20"/>
              </w:rPr>
              <w:t xml:space="preserve"> </w:t>
            </w:r>
          </w:p>
          <w:p w:rsidR="00C005F7" w:rsidRDefault="00C005F7" w:rsidP="00013FE8">
            <w:pPr>
              <w:numPr>
                <w:ilvl w:val="0"/>
                <w:numId w:val="1"/>
              </w:numPr>
              <w:ind w:left="162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C005F7" w:rsidRDefault="00C005F7" w:rsidP="003D16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C005F7" w:rsidRDefault="00C005F7" w:rsidP="003D16B4">
            <w:pPr>
              <w:jc w:val="right"/>
              <w:rPr>
                <w:sz w:val="20"/>
                <w:szCs w:val="20"/>
              </w:rPr>
            </w:pPr>
          </w:p>
          <w:p w:rsidR="004079CC" w:rsidRDefault="002F51FD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</w:tr>
      <w:tr w:rsidR="001F2E7F" w:rsidTr="007000BF">
        <w:trPr>
          <w:trHeight w:val="947"/>
          <w:jc w:val="center"/>
        </w:trPr>
        <w:tc>
          <w:tcPr>
            <w:tcW w:w="159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Réaliser</w:t>
            </w:r>
          </w:p>
          <w:p w:rsidR="001F2E7F" w:rsidRDefault="001F2E7F" w:rsidP="003D16B4">
            <w:pPr>
              <w:jc w:val="center"/>
              <w:rPr>
                <w:b/>
                <w:sz w:val="20"/>
                <w:szCs w:val="20"/>
              </w:rPr>
            </w:pPr>
          </w:p>
          <w:p w:rsidR="001F2E7F" w:rsidRDefault="001F2E7F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</w:t>
            </w: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  <w:vAlign w:val="center"/>
          </w:tcPr>
          <w:p w:rsidR="001F2E7F" w:rsidRDefault="00362DD6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Partie B</w:t>
            </w:r>
          </w:p>
          <w:p w:rsidR="001F2E7F" w:rsidRDefault="001F2E7F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1F2E7F" w:rsidRDefault="00362DD6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Q.3</w:t>
            </w:r>
            <w:r w:rsidR="001F2E7F">
              <w:rPr>
                <w:bCs/>
                <w:sz w:val="20"/>
                <w:szCs w:val="20"/>
              </w:rPr>
              <w:t>)</w:t>
            </w:r>
          </w:p>
          <w:p w:rsidR="001F2E7F" w:rsidRDefault="001F2E7F" w:rsidP="003D1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1F2E7F" w:rsidRDefault="001F2E7F" w:rsidP="001F2E7F">
            <w:pPr>
              <w:numPr>
                <w:ilvl w:val="0"/>
                <w:numId w:val="1"/>
              </w:numPr>
              <w:ind w:left="165"/>
              <w:contextualSpacing/>
              <w:rPr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>L’élève est capable d</w:t>
            </w:r>
            <w:r>
              <w:rPr>
                <w:i/>
                <w:sz w:val="20"/>
                <w:szCs w:val="20"/>
              </w:rPr>
              <w:t>’appliquer un pourcentage d’augmentation en utilisant des données extraites de 2 tableaux.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1F2E7F" w:rsidRDefault="001F2E7F" w:rsidP="003D16B4">
            <w:pPr>
              <w:jc w:val="right"/>
              <w:rPr>
                <w:sz w:val="20"/>
                <w:szCs w:val="20"/>
              </w:rPr>
            </w:pPr>
          </w:p>
          <w:p w:rsidR="001F2E7F" w:rsidRDefault="001F2E7F" w:rsidP="002F5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</w:t>
            </w:r>
            <w:r w:rsidR="002F51FD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1F2E7F" w:rsidRDefault="001F2E7F" w:rsidP="003D16B4">
            <w:pPr>
              <w:jc w:val="right"/>
              <w:rPr>
                <w:sz w:val="20"/>
                <w:szCs w:val="20"/>
              </w:rPr>
            </w:pPr>
          </w:p>
          <w:p w:rsidR="001F2E7F" w:rsidRDefault="001F2E7F" w:rsidP="003D16B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F2E7F" w:rsidTr="007000BF">
        <w:trPr>
          <w:trHeight w:val="1107"/>
          <w:jc w:val="center"/>
        </w:trPr>
        <w:tc>
          <w:tcPr>
            <w:tcW w:w="15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  <w:vAlign w:val="center"/>
          </w:tcPr>
          <w:p w:rsidR="001F2E7F" w:rsidRDefault="00362DD6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Partie C</w:t>
            </w:r>
          </w:p>
          <w:p w:rsidR="001F2E7F" w:rsidRDefault="001F2E7F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1F2E7F" w:rsidRDefault="001F2E7F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Q.1)</w:t>
            </w: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1F2E7F" w:rsidRDefault="00052B74" w:rsidP="00407599">
            <w:pPr>
              <w:numPr>
                <w:ilvl w:val="0"/>
                <w:numId w:val="1"/>
              </w:numPr>
              <w:ind w:left="165"/>
              <w:contextualSpacing/>
              <w:rPr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 xml:space="preserve">L’élève est capable </w:t>
            </w:r>
            <w:r w:rsidR="00E213AC" w:rsidRPr="00013FE8">
              <w:rPr>
                <w:i/>
                <w:sz w:val="20"/>
                <w:szCs w:val="20"/>
              </w:rPr>
              <w:t>d</w:t>
            </w:r>
            <w:r w:rsidR="00E213AC">
              <w:rPr>
                <w:i/>
                <w:sz w:val="20"/>
                <w:szCs w:val="20"/>
              </w:rPr>
              <w:t>’appliquer un pourcentage d’augmentation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1F2E7F" w:rsidRDefault="001F2E7F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1F2E7F" w:rsidRDefault="001F2E7F" w:rsidP="003D16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1F2E7F" w:rsidRDefault="001F2E7F" w:rsidP="002F5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2F51FD">
              <w:rPr>
                <w:sz w:val="20"/>
                <w:szCs w:val="20"/>
              </w:rPr>
              <w:t>1</w:t>
            </w:r>
          </w:p>
        </w:tc>
      </w:tr>
      <w:tr w:rsidR="0035542E" w:rsidTr="007000BF">
        <w:trPr>
          <w:trHeight w:val="337"/>
          <w:jc w:val="center"/>
        </w:trPr>
        <w:tc>
          <w:tcPr>
            <w:tcW w:w="159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35542E" w:rsidRDefault="0035542E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Valider</w:t>
            </w:r>
          </w:p>
          <w:p w:rsidR="0035542E" w:rsidRDefault="0035542E" w:rsidP="003D16B4">
            <w:pPr>
              <w:jc w:val="center"/>
              <w:rPr>
                <w:b/>
                <w:sz w:val="20"/>
                <w:szCs w:val="20"/>
              </w:rPr>
            </w:pPr>
          </w:p>
          <w:p w:rsidR="0035542E" w:rsidRDefault="0035542E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</w:t>
            </w: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</w:tcPr>
          <w:p w:rsidR="0035542E" w:rsidRDefault="0035542E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35542E" w:rsidRDefault="0035542E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Partie </w:t>
            </w:r>
            <w:r w:rsidR="0069237A">
              <w:rPr>
                <w:bCs/>
                <w:sz w:val="20"/>
                <w:szCs w:val="20"/>
              </w:rPr>
              <w:t>C</w:t>
            </w:r>
          </w:p>
          <w:p w:rsidR="0035542E" w:rsidRDefault="0035542E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35542E" w:rsidRDefault="0069237A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Q.2</w:t>
            </w:r>
            <w:r w:rsidR="0035542E">
              <w:rPr>
                <w:bCs/>
                <w:sz w:val="20"/>
                <w:szCs w:val="20"/>
              </w:rPr>
              <w:t>)</w:t>
            </w:r>
          </w:p>
          <w:p w:rsidR="0035542E" w:rsidRDefault="0035542E" w:rsidP="003D1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35542E" w:rsidRDefault="0035542E" w:rsidP="0069237A">
            <w:pPr>
              <w:numPr>
                <w:ilvl w:val="0"/>
                <w:numId w:val="1"/>
              </w:numPr>
              <w:ind w:left="162"/>
              <w:contextualSpacing/>
              <w:rPr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 xml:space="preserve">L’élève est capable de </w:t>
            </w:r>
            <w:r w:rsidR="0069237A">
              <w:rPr>
                <w:i/>
                <w:sz w:val="20"/>
                <w:szCs w:val="20"/>
              </w:rPr>
              <w:t>confirmer un résultat en interprétant des indicateurs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35542E" w:rsidRDefault="0035542E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35542E" w:rsidRDefault="0035542E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35542E" w:rsidRDefault="0035542E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35542E" w:rsidRDefault="0035542E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bottom w:val="dashSmallGap" w:sz="8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35542E" w:rsidRDefault="0035542E" w:rsidP="003D16B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F65A63" w:rsidTr="007000BF">
        <w:trPr>
          <w:trHeight w:val="937"/>
          <w:jc w:val="center"/>
        </w:trPr>
        <w:tc>
          <w:tcPr>
            <w:tcW w:w="15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F65A63" w:rsidRDefault="00F65A63" w:rsidP="003D16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Partie </w:t>
            </w:r>
            <w:r w:rsidR="0069237A">
              <w:rPr>
                <w:bCs/>
                <w:sz w:val="20"/>
                <w:szCs w:val="20"/>
              </w:rPr>
              <w:t>C</w:t>
            </w:r>
          </w:p>
          <w:p w:rsidR="00F65A63" w:rsidRDefault="0069237A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Q.3</w:t>
            </w:r>
            <w:r w:rsidR="00F65A63">
              <w:rPr>
                <w:bCs/>
                <w:sz w:val="20"/>
                <w:szCs w:val="20"/>
              </w:rPr>
              <w:t>)</w:t>
            </w: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F65A63" w:rsidRDefault="00F65A63" w:rsidP="004539DF">
            <w:pPr>
              <w:numPr>
                <w:ilvl w:val="0"/>
                <w:numId w:val="1"/>
              </w:numPr>
              <w:ind w:left="162"/>
              <w:contextualSpacing/>
              <w:rPr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 xml:space="preserve">L’élève est capable de </w:t>
            </w:r>
            <w:r w:rsidR="004539DF">
              <w:rPr>
                <w:i/>
                <w:sz w:val="20"/>
                <w:szCs w:val="20"/>
              </w:rPr>
              <w:t>compléter des phrases en s’appuyant sur des données du tableau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/1</w:t>
            </w:r>
          </w:p>
        </w:tc>
      </w:tr>
      <w:tr w:rsidR="00C005F7" w:rsidTr="007000BF">
        <w:trPr>
          <w:trHeight w:val="461"/>
          <w:jc w:val="center"/>
        </w:trPr>
        <w:tc>
          <w:tcPr>
            <w:tcW w:w="159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Communiquer</w:t>
            </w:r>
          </w:p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</w:p>
          <w:p w:rsidR="00C005F7" w:rsidRDefault="00C005F7" w:rsidP="003D1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</w:t>
            </w: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</w:tcPr>
          <w:p w:rsidR="00C005F7" w:rsidRDefault="00C005F7" w:rsidP="003D16B4">
            <w:pPr>
              <w:jc w:val="center"/>
              <w:rPr>
                <w:bCs/>
                <w:sz w:val="20"/>
                <w:szCs w:val="20"/>
              </w:rPr>
            </w:pPr>
          </w:p>
          <w:p w:rsidR="00C005F7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Partie </w:t>
            </w:r>
            <w:r w:rsidR="00C34F83">
              <w:rPr>
                <w:bCs/>
                <w:sz w:val="20"/>
                <w:szCs w:val="20"/>
              </w:rPr>
              <w:t>B</w:t>
            </w: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Q.4)</w:t>
            </w:r>
          </w:p>
          <w:p w:rsidR="00C005F7" w:rsidRDefault="00C005F7" w:rsidP="003D1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C005F7" w:rsidRDefault="009043CD" w:rsidP="009043CD">
            <w:pPr>
              <w:numPr>
                <w:ilvl w:val="0"/>
                <w:numId w:val="1"/>
              </w:numPr>
              <w:ind w:left="162"/>
              <w:contextualSpacing/>
              <w:rPr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 xml:space="preserve">L’élève est capable de </w:t>
            </w:r>
            <w:r>
              <w:rPr>
                <w:i/>
                <w:sz w:val="20"/>
                <w:szCs w:val="20"/>
              </w:rPr>
              <w:t>rendre compte d’un résultat en argumentant sa réponse.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2F51FD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C005F7" w:rsidRDefault="00C005F7" w:rsidP="003D16B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F65A63" w:rsidTr="007000BF">
        <w:trPr>
          <w:trHeight w:val="811"/>
          <w:jc w:val="center"/>
        </w:trPr>
        <w:tc>
          <w:tcPr>
            <w:tcW w:w="159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C000"/>
            <w:tcMar>
              <w:left w:w="108" w:type="dxa"/>
            </w:tcMar>
            <w:vAlign w:val="center"/>
          </w:tcPr>
          <w:p w:rsidR="00F65A63" w:rsidRDefault="00F65A63" w:rsidP="003D16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dashSmallGap" w:sz="8" w:space="0" w:color="00000A"/>
              <w:left w:val="single" w:sz="4" w:space="0" w:color="00000A"/>
              <w:right w:val="single" w:sz="4" w:space="0" w:color="000001"/>
            </w:tcBorders>
            <w:shd w:val="clear" w:color="auto" w:fill="ACB9CA" w:themeFill="text2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Partie </w:t>
            </w:r>
            <w:r w:rsidR="00C34F83">
              <w:rPr>
                <w:bCs/>
                <w:sz w:val="20"/>
                <w:szCs w:val="20"/>
              </w:rPr>
              <w:t>C</w:t>
            </w:r>
          </w:p>
          <w:p w:rsidR="00F65A63" w:rsidRDefault="00C34F83" w:rsidP="003D1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Q.2</w:t>
            </w:r>
            <w:r w:rsidR="00F65A63">
              <w:rPr>
                <w:bCs/>
                <w:sz w:val="20"/>
                <w:szCs w:val="20"/>
              </w:rPr>
              <w:t>)</w:t>
            </w:r>
          </w:p>
          <w:p w:rsidR="00F65A63" w:rsidRDefault="00F65A63" w:rsidP="003D16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center"/>
          </w:tcPr>
          <w:p w:rsidR="00F65A63" w:rsidRDefault="009043CD" w:rsidP="009A6CF1">
            <w:pPr>
              <w:numPr>
                <w:ilvl w:val="0"/>
                <w:numId w:val="1"/>
              </w:numPr>
              <w:ind w:left="162"/>
              <w:contextualSpacing/>
              <w:rPr>
                <w:sz w:val="20"/>
                <w:szCs w:val="20"/>
              </w:rPr>
            </w:pPr>
            <w:r w:rsidRPr="00013FE8">
              <w:rPr>
                <w:i/>
                <w:sz w:val="20"/>
                <w:szCs w:val="20"/>
              </w:rPr>
              <w:t xml:space="preserve">L’élève est capable de </w:t>
            </w:r>
            <w:r w:rsidR="009A6CF1">
              <w:rPr>
                <w:i/>
                <w:sz w:val="20"/>
                <w:szCs w:val="20"/>
              </w:rPr>
              <w:t>rédiger sa réponse en utilisant le vocabulaire adapté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108" w:type="dxa"/>
            </w:tcMar>
          </w:tcPr>
          <w:p w:rsidR="00F65A63" w:rsidRDefault="00F65A63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dashSmallGap" w:sz="8" w:space="0" w:color="00000A"/>
              <w:left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</w:tcPr>
          <w:p w:rsidR="00F65A63" w:rsidRDefault="00F65A63" w:rsidP="003D16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</w:tr>
      <w:tr w:rsidR="00C005F7" w:rsidTr="007000BF">
        <w:trPr>
          <w:trHeight w:val="490"/>
          <w:jc w:val="center"/>
        </w:trPr>
        <w:tc>
          <w:tcPr>
            <w:tcW w:w="1593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5F7" w:rsidRDefault="00C005F7" w:rsidP="003D16B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</w:tcPr>
          <w:p w:rsidR="00C005F7" w:rsidRDefault="00C005F7" w:rsidP="003D16B4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C005F7" w:rsidRDefault="00C005F7" w:rsidP="003D16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</w:t>
            </w:r>
            <w:r w:rsidR="002F51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 w:themeFill="accent3" w:themeFillTint="99"/>
            <w:tcMar>
              <w:left w:w="108" w:type="dxa"/>
            </w:tcMar>
            <w:vAlign w:val="center"/>
          </w:tcPr>
          <w:p w:rsidR="002F51FD" w:rsidRDefault="002F51FD" w:rsidP="003D16B4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C005F7" w:rsidRDefault="00C005F7" w:rsidP="003D16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/5</w:t>
            </w:r>
          </w:p>
          <w:p w:rsidR="00C005F7" w:rsidRDefault="00C005F7" w:rsidP="002F5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D16B4" w:rsidRDefault="003D16B4" w:rsidP="003D16B4">
      <w:pPr>
        <w:rPr>
          <w:b/>
          <w:bCs/>
        </w:rPr>
      </w:pPr>
    </w:p>
    <w:p w:rsidR="003D16B4" w:rsidRDefault="002F51FD" w:rsidP="003D16B4">
      <w:pPr>
        <w:jc w:val="right"/>
        <w:rPr>
          <w:b/>
          <w:bCs/>
        </w:rPr>
      </w:pPr>
      <w:r>
        <w:rPr>
          <w:b/>
          <w:bCs/>
        </w:rPr>
        <w:t>Note finale:     / 1</w:t>
      </w:r>
      <w:r w:rsidR="003D16B4">
        <w:rPr>
          <w:b/>
          <w:bCs/>
        </w:rPr>
        <w:t>0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82"/>
      </w:tblGrid>
      <w:tr w:rsidR="003D16B4" w:rsidTr="001E7231">
        <w:trPr>
          <w:trHeight w:val="341"/>
          <w:jc w:val="center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525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1"/>
                <w:right w:val="single" w:sz="4" w:space="0" w:color="00000A"/>
                <w:insideH w:val="single" w:sz="4" w:space="0" w:color="000001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1472"/>
              <w:gridCol w:w="1302"/>
              <w:gridCol w:w="679"/>
              <w:gridCol w:w="679"/>
              <w:gridCol w:w="679"/>
              <w:gridCol w:w="672"/>
              <w:gridCol w:w="685"/>
              <w:gridCol w:w="685"/>
              <w:gridCol w:w="672"/>
            </w:tblGrid>
            <w:tr w:rsidR="003D16B4" w:rsidTr="001E7231">
              <w:trPr>
                <w:trHeight w:val="810"/>
                <w:jc w:val="center"/>
              </w:trPr>
              <w:tc>
                <w:tcPr>
                  <w:tcW w:w="1472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Compétences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Questions</w:t>
                  </w:r>
                </w:p>
              </w:tc>
              <w:tc>
                <w:tcPr>
                  <w:tcW w:w="679" w:type="dxa"/>
                  <w:tcBorders>
                    <w:top w:val="single" w:sz="18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8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18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18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18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18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18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D16B4" w:rsidTr="001E7231">
              <w:trPr>
                <w:trHeight w:val="549"/>
                <w:jc w:val="center"/>
              </w:trPr>
              <w:tc>
                <w:tcPr>
                  <w:tcW w:w="1472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617"/>
                <w:jc w:val="center"/>
              </w:trPr>
              <w:tc>
                <w:tcPr>
                  <w:tcW w:w="1472" w:type="dxa"/>
                  <w:vMerge w:val="restart"/>
                  <w:tcBorders>
                    <w:top w:val="single" w:sz="4" w:space="0" w:color="000001"/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S’approprier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APP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413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2.1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520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3.1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710"/>
                <w:jc w:val="center"/>
              </w:trPr>
              <w:tc>
                <w:tcPr>
                  <w:tcW w:w="1472" w:type="dxa"/>
                  <w:vMerge w:val="restart"/>
                  <w:tcBorders>
                    <w:top w:val="dashSmallGap" w:sz="8" w:space="0" w:color="00000A"/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Analyser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ANA</w:t>
                  </w: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1.3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693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3.3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920"/>
                <w:jc w:val="center"/>
              </w:trPr>
              <w:tc>
                <w:tcPr>
                  <w:tcW w:w="1472" w:type="dxa"/>
                  <w:vMerge w:val="restart"/>
                  <w:tcBorders>
                    <w:top w:val="dashSmallGap" w:sz="8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Réaliser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REA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1.2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1.4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901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2.2.1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2.2.2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417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409"/>
                <w:jc w:val="center"/>
              </w:trPr>
              <w:tc>
                <w:tcPr>
                  <w:tcW w:w="1472" w:type="dxa"/>
                  <w:vMerge w:val="restart"/>
                  <w:tcBorders>
                    <w:top w:val="dashSmallGap" w:sz="8" w:space="0" w:color="00000A"/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Valider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1.3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277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2.1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2.3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369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dashSmallGap" w:sz="8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559"/>
                <w:jc w:val="center"/>
              </w:trPr>
              <w:tc>
                <w:tcPr>
                  <w:tcW w:w="1472" w:type="dxa"/>
                  <w:vMerge w:val="restart"/>
                  <w:tcBorders>
                    <w:top w:val="dashSmallGap" w:sz="8" w:space="0" w:color="00000A"/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Communiquer</w:t>
                  </w: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</w:t>
                  </w: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1.5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285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2.3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D16B4" w:rsidTr="001E7231">
              <w:trPr>
                <w:trHeight w:val="675"/>
                <w:jc w:val="center"/>
              </w:trPr>
              <w:tc>
                <w:tcPr>
                  <w:tcW w:w="1472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vAlign w:val="center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dashSmallGap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3.4</w:t>
                  </w:r>
                </w:p>
                <w:p w:rsidR="003D16B4" w:rsidRDefault="003D16B4" w:rsidP="001E72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18" w:space="0" w:color="000001"/>
                    <w:bottom w:val="single" w:sz="18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18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000001"/>
                    <w:left w:val="single" w:sz="6" w:space="0" w:color="000001"/>
                    <w:bottom w:val="single" w:sz="18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18" w:space="0" w:color="000001"/>
                    <w:right w:val="single" w:sz="6" w:space="0" w:color="000001"/>
                  </w:tcBorders>
                  <w:shd w:val="clear" w:color="auto" w:fill="F2F2F2" w:themeFill="background1" w:themeFillShade="F2"/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18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  <w:tcBorders>
                    <w:top w:val="single" w:sz="6" w:space="0" w:color="000001"/>
                    <w:left w:val="single" w:sz="6" w:space="0" w:color="000001"/>
                    <w:bottom w:val="single" w:sz="18" w:space="0" w:color="000001"/>
                    <w:right w:val="single" w:sz="6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672" w:type="dxa"/>
                  <w:tcBorders>
                    <w:top w:val="single" w:sz="6" w:space="0" w:color="000001"/>
                    <w:left w:val="single" w:sz="6" w:space="0" w:color="000001"/>
                    <w:bottom w:val="single" w:sz="18" w:space="0" w:color="000001"/>
                    <w:right w:val="single" w:sz="18" w:space="0" w:color="000001"/>
                  </w:tcBorders>
                </w:tcPr>
                <w:p w:rsidR="003D16B4" w:rsidRDefault="003D16B4" w:rsidP="001E72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bCs/>
                <w:caps/>
              </w:rPr>
            </w:pPr>
          </w:p>
          <w:p w:rsidR="003D16B4" w:rsidRDefault="003D16B4" w:rsidP="001E7231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GRILLE D’</w:t>
            </w:r>
            <w:r>
              <w:rPr>
                <w:b/>
                <w:bCs/>
                <w:sz w:val="22"/>
                <w:szCs w:val="22"/>
              </w:rPr>
              <w:t>É</w:t>
            </w:r>
            <w:r>
              <w:rPr>
                <w:b/>
                <w:bCs/>
                <w:caps/>
                <w:sz w:val="22"/>
                <w:szCs w:val="22"/>
              </w:rPr>
              <w:t xml:space="preserve">VALUATION EN </w:t>
            </w:r>
            <w:r>
              <w:rPr>
                <w:b/>
                <w:caps/>
                <w:sz w:val="22"/>
              </w:rPr>
              <w:t>SCIENCES PHYSIQUES ET CHIMIQUES</w:t>
            </w:r>
          </w:p>
        </w:tc>
      </w:tr>
    </w:tbl>
    <w:p w:rsidR="003D16B4" w:rsidRDefault="003D16B4" w:rsidP="003D16B4"/>
    <w:p w:rsidR="00570D7C" w:rsidRDefault="00570D7C"/>
    <w:sectPr w:rsidR="00570D7C" w:rsidSect="0045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39" w:rsidRDefault="00462639" w:rsidP="003D16B4">
      <w:r>
        <w:separator/>
      </w:r>
    </w:p>
  </w:endnote>
  <w:endnote w:type="continuationSeparator" w:id="0">
    <w:p w:rsidR="00462639" w:rsidRDefault="00462639" w:rsidP="003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39" w:rsidRDefault="00462639" w:rsidP="003D16B4">
      <w:r>
        <w:separator/>
      </w:r>
    </w:p>
  </w:footnote>
  <w:footnote w:type="continuationSeparator" w:id="0">
    <w:p w:rsidR="00462639" w:rsidRDefault="00462639" w:rsidP="003D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6FF5"/>
    <w:multiLevelType w:val="multilevel"/>
    <w:tmpl w:val="CB68E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4"/>
    <w:rsid w:val="00013FE8"/>
    <w:rsid w:val="00052B74"/>
    <w:rsid w:val="0006724B"/>
    <w:rsid w:val="000A2A5C"/>
    <w:rsid w:val="000A4E8F"/>
    <w:rsid w:val="00153253"/>
    <w:rsid w:val="001F2E7F"/>
    <w:rsid w:val="002F51FD"/>
    <w:rsid w:val="0035035E"/>
    <w:rsid w:val="0035542E"/>
    <w:rsid w:val="00362DD6"/>
    <w:rsid w:val="003D16B4"/>
    <w:rsid w:val="003D3B33"/>
    <w:rsid w:val="00407599"/>
    <w:rsid w:val="004079CC"/>
    <w:rsid w:val="004539DF"/>
    <w:rsid w:val="00462639"/>
    <w:rsid w:val="004F0CC0"/>
    <w:rsid w:val="00507952"/>
    <w:rsid w:val="0053043F"/>
    <w:rsid w:val="00570D7C"/>
    <w:rsid w:val="00632E01"/>
    <w:rsid w:val="0069237A"/>
    <w:rsid w:val="007000BF"/>
    <w:rsid w:val="00815D5B"/>
    <w:rsid w:val="009043CD"/>
    <w:rsid w:val="0095561D"/>
    <w:rsid w:val="009A523B"/>
    <w:rsid w:val="009A6CF1"/>
    <w:rsid w:val="00AA7FBC"/>
    <w:rsid w:val="00AB2797"/>
    <w:rsid w:val="00BC725A"/>
    <w:rsid w:val="00C005F7"/>
    <w:rsid w:val="00C34F83"/>
    <w:rsid w:val="00E213AC"/>
    <w:rsid w:val="00EC3848"/>
    <w:rsid w:val="00F6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3D16B4"/>
    <w:rPr>
      <w:vertAlign w:val="superscript"/>
    </w:rPr>
  </w:style>
  <w:style w:type="character" w:customStyle="1" w:styleId="Ancredenotedebasdepage">
    <w:name w:val="Ancre de note de bas de page"/>
    <w:rsid w:val="003D16B4"/>
    <w:rPr>
      <w:vertAlign w:val="superscript"/>
    </w:rPr>
  </w:style>
  <w:style w:type="paragraph" w:styleId="Notedebasdepage">
    <w:name w:val="footnote text"/>
    <w:basedOn w:val="Normal"/>
    <w:link w:val="NotedebasdepageCar"/>
    <w:rsid w:val="003D16B4"/>
  </w:style>
  <w:style w:type="character" w:customStyle="1" w:styleId="NotedebasdepageCar">
    <w:name w:val="Note de bas de page Car"/>
    <w:basedOn w:val="Policepardfaut"/>
    <w:link w:val="Notedebasdepage"/>
    <w:rsid w:val="003D16B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3D16B4"/>
    <w:rPr>
      <w:vertAlign w:val="superscript"/>
    </w:rPr>
  </w:style>
  <w:style w:type="character" w:customStyle="1" w:styleId="Ancredenotedebasdepage">
    <w:name w:val="Ancre de note de bas de page"/>
    <w:rsid w:val="003D16B4"/>
    <w:rPr>
      <w:vertAlign w:val="superscript"/>
    </w:rPr>
  </w:style>
  <w:style w:type="paragraph" w:styleId="Notedebasdepage">
    <w:name w:val="footnote text"/>
    <w:basedOn w:val="Normal"/>
    <w:link w:val="NotedebasdepageCar"/>
    <w:rsid w:val="003D16B4"/>
  </w:style>
  <w:style w:type="character" w:customStyle="1" w:styleId="NotedebasdepageCar">
    <w:name w:val="Note de bas de page Car"/>
    <w:basedOn w:val="Policepardfaut"/>
    <w:link w:val="Notedebasdepage"/>
    <w:rsid w:val="003D16B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Nordine</dc:creator>
  <cp:lastModifiedBy>Frederic Teulat</cp:lastModifiedBy>
  <cp:revision>2</cp:revision>
  <cp:lastPrinted>2017-01-10T10:49:00Z</cp:lastPrinted>
  <dcterms:created xsi:type="dcterms:W3CDTF">2017-05-12T07:49:00Z</dcterms:created>
  <dcterms:modified xsi:type="dcterms:W3CDTF">2017-05-12T07:49:00Z</dcterms:modified>
</cp:coreProperties>
</file>